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</w:t>
        <w:tab/>
        <w:tab/>
        <w:tab/>
        <w:tab/>
        <w:t xml:space="preserve">       </w:t>
        <w:tab/>
        <w:tab/>
        <w:tab/>
        <w:tab/>
        <w:tab/>
        <w:t>Додаток 1</w:t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  <w:tab/>
        <w:tab/>
        <w:tab/>
        <w:tab/>
        <w:tab/>
        <w:t xml:space="preserve">     </w:t>
        <w:tab/>
        <w:tab/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Перелік майна котельні за адресою  вулиця Новий Світ,11, яке передається </w:t>
      </w:r>
      <w:r>
        <w:rPr>
          <w:color w:val="000000"/>
          <w:sz w:val="24"/>
          <w:szCs w:val="24"/>
          <w:lang/>
        </w:rPr>
        <w:t xml:space="preserve">на баланс у поповнення статутного капіталу </w:t>
      </w:r>
      <w:r>
        <w:rPr>
          <w:color w:val="000000"/>
          <w:sz w:val="24"/>
          <w:szCs w:val="24"/>
          <w:lang/>
        </w:rPr>
        <w:t xml:space="preserve">дочірньому підприємству «Тернопільська  енергосервісна компанія» комунального підприємства теплових мереж «Тернопільміськтеплокомуненерго» Тернопільської міської ради </w:t>
      </w:r>
    </w:p>
    <w:tbl>
      <w:tblPr>
        <w:tblStyle w:val="T2"/>
        <w:tblW w:w="966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56"/>
        <w:gridCol w:w="3088"/>
        <w:gridCol w:w="1134"/>
        <w:gridCol w:w="1134"/>
        <w:gridCol w:w="1701"/>
        <w:gridCol w:w="2150"/>
      </w:tblGrid>
      <w:tr>
        <w:trPr>
          <w:wAfter w:w="0" w:type="dxa"/>
        </w:trPr>
        <w:tc>
          <w:tcPr>
            <w:tcW w:w="456" w:type="dxa"/>
            <w:tcBorders>
              <w:top w:val="single" w:sz="0" w:space="0" w:shadow="0" w:frame="0" w:color="000000"/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3088" w:type="dxa"/>
            <w:tcBorders>
              <w:top w:val="single" w:sz="0" w:space="0" w:shadow="0" w:frame="0" w:color="000000"/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Обладнання</w:t>
            </w:r>
          </w:p>
        </w:tc>
        <w:tc>
          <w:tcPr>
            <w:tcW w:w="1134" w:type="dxa"/>
            <w:tcBorders>
              <w:top w:val="single" w:sz="0" w:space="0" w:shadow="0" w:frame="0" w:color="000000"/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Одиниця виміру</w:t>
            </w:r>
          </w:p>
        </w:tc>
        <w:tc>
          <w:tcPr>
            <w:tcW w:w="1134" w:type="dxa"/>
            <w:tcBorders>
              <w:top w:val="single" w:sz="0" w:space="0" w:shadow="0" w:frame="0" w:color="000000"/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Кількість</w:t>
            </w:r>
          </w:p>
        </w:tc>
        <w:tc>
          <w:tcPr>
            <w:tcW w:w="1701" w:type="dxa"/>
            <w:tcBorders>
              <w:top w:val="single" w:sz="0" w:space="0" w:shadow="0" w:frame="0" w:color="000000"/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введення в експлуатацію</w:t>
            </w:r>
          </w:p>
        </w:tc>
        <w:tc>
          <w:tcPr>
            <w:tcW w:w="2150" w:type="dxa"/>
            <w:tcBorders>
              <w:top w:val="single" w:sz="0" w:space="0" w:shadow="0" w:frame="0" w:color="000000"/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Балансова вартість, грн.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88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Нежитлове приміщення загальною площею 74,8 м кв.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31.07.2023</w:t>
            </w:r>
          </w:p>
        </w:tc>
        <w:tc>
          <w:tcPr>
            <w:tcW w:w="2150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675 490,00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88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Клапан запобіжний Ду-50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31.01.2024</w:t>
            </w:r>
          </w:p>
        </w:tc>
        <w:tc>
          <w:tcPr>
            <w:tcW w:w="2150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13 740,00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88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Котел стальний водогрійний КСВ-0,25 ВК-22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31.01.2024</w:t>
            </w:r>
          </w:p>
        </w:tc>
        <w:tc>
          <w:tcPr>
            <w:tcW w:w="2150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85 640,00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88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WILO IL 80/115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05.12.2009</w:t>
            </w:r>
          </w:p>
        </w:tc>
        <w:tc>
          <w:tcPr>
            <w:tcW w:w="2150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20 350,00</w:t>
            </w:r>
          </w:p>
        </w:tc>
      </w:tr>
      <w:tr>
        <w:trPr>
          <w:wAfter w:w="0" w:type="dxa"/>
          <w:trHeight w:hRule="atLeast" w:val="493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088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WILO-0,55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05.12.2009</w:t>
            </w:r>
          </w:p>
        </w:tc>
        <w:tc>
          <w:tcPr>
            <w:tcW w:w="2150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7 220,00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88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Розширювальний бак </w:t>
            </w:r>
          </w:p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 500/6  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05.12.2009</w:t>
            </w:r>
          </w:p>
        </w:tc>
        <w:tc>
          <w:tcPr>
            <w:tcW w:w="2150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8 040,00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88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Пальники газові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22.12.2009</w:t>
            </w:r>
          </w:p>
        </w:tc>
        <w:tc>
          <w:tcPr>
            <w:tcW w:w="2150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52 010,00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088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Клапан електромагнітний </w:t>
            </w:r>
          </w:p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Pу 16 EVG DN100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22.12.2009</w:t>
            </w:r>
          </w:p>
        </w:tc>
        <w:tc>
          <w:tcPr>
            <w:tcW w:w="2150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3 740,00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088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Пом’якшувач  Kinetico модель 60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05.12.2009</w:t>
            </w:r>
          </w:p>
        </w:tc>
        <w:tc>
          <w:tcPr>
            <w:tcW w:w="2150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83 800,00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088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Автоматизована система управління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31.08.2010</w:t>
            </w:r>
          </w:p>
        </w:tc>
        <w:tc>
          <w:tcPr>
            <w:tcW w:w="2150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51 600,00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088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Лічильник газовий GMS-G65-80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31.05.2012</w:t>
            </w:r>
          </w:p>
        </w:tc>
        <w:tc>
          <w:tcPr>
            <w:tcW w:w="2150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12 500,00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088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Лічильник теплової енергії Ергомера-125 Ø80мм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20.06.2012</w:t>
            </w:r>
          </w:p>
        </w:tc>
        <w:tc>
          <w:tcPr>
            <w:tcW w:w="2150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5 000,00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088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Обчислювач об’єму газу Універсал-02 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30.11.2011</w:t>
            </w:r>
          </w:p>
        </w:tc>
        <w:tc>
          <w:tcPr>
            <w:tcW w:w="2150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7 400,00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088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Датчик тиску Aplisen 0,4 Мпа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30.11.2011</w:t>
            </w:r>
          </w:p>
        </w:tc>
        <w:tc>
          <w:tcPr>
            <w:tcW w:w="2150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1 170,00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088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Бак пластмасовий  для хімічно очищеної води       </w:t>
            </w:r>
          </w:p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 л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29.08.2025</w:t>
            </w:r>
          </w:p>
        </w:tc>
        <w:tc>
          <w:tcPr>
            <w:tcW w:w="2150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3 410,00</w:t>
            </w:r>
          </w:p>
        </w:tc>
      </w:tr>
      <w:tr>
        <w:trPr>
          <w:wAfter w:w="0" w:type="dxa"/>
        </w:trPr>
        <w:tc>
          <w:tcPr>
            <w:tcW w:w="456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</w:p>
        </w:tc>
        <w:tc>
          <w:tcPr>
            <w:tcW w:w="3088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Всього</w:t>
            </w: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0" w:space="0" w:shadow="0" w:frame="0" w:color="000000"/>
              <w:bottom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</w:p>
        </w:tc>
        <w:tc>
          <w:tcPr>
            <w:tcW w:w="2150" w:type="dxa"/>
            <w:tcBorders>
              <w:left w:val="single" w:sz="0" w:space="0" w:shadow="0" w:frame="0" w:color="000000"/>
              <w:bottom w:val="single" w:sz="0" w:space="0" w:shadow="0" w:frame="0" w:color="000000"/>
              <w:right w:val="single" w:sz="0" w:space="0" w:shadow="0" w:frame="0" w:color="000000"/>
            </w:tcBorders>
            <w:shd w:val="clear" w:color="auto" w:fill="auto"/>
          </w:tcPr>
          <w:p>
            <w:pPr>
              <w:pStyle w:val="P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1 031 110,00 </w:t>
            </w:r>
          </w:p>
        </w:tc>
      </w:tr>
    </w:tbl>
    <w:p>
      <w:pPr>
        <w:rPr>
          <w:sz w:val="24"/>
          <w:szCs w:val="24"/>
          <w:lang/>
        </w:rPr>
      </w:pPr>
      <w:r>
        <w:rPr>
          <w:sz w:val="24"/>
          <w:szCs w:val="24"/>
          <w:lang/>
        </w:rPr>
        <w:t xml:space="preserve">       </w:t>
      </w:r>
    </w:p>
    <w:p>
      <w:pPr>
        <w:rPr>
          <w:sz w:val="24"/>
          <w:szCs w:val="24"/>
          <w:lang/>
        </w:rPr>
      </w:pPr>
      <w:r>
        <w:rPr>
          <w:sz w:val="24"/>
          <w:szCs w:val="24"/>
          <w:lang/>
        </w:rPr>
        <w:t xml:space="preserve">       </w:t>
      </w:r>
    </w:p>
    <w:p>
      <w:pPr>
        <w:tabs>
          <w:tab w:val="left" w:pos="7088" w:leader="none"/>
        </w:tabs>
        <w:rPr>
          <w:sz w:val="24"/>
          <w:szCs w:val="24"/>
        </w:rPr>
      </w:pPr>
      <w:r>
        <w:rPr>
          <w:sz w:val="24"/>
          <w:szCs w:val="24"/>
          <w:lang/>
        </w:rPr>
        <w:t xml:space="preserve">Міський голова                                                                                            Сергій НАДАЛ         </w:t>
      </w:r>
      <w:r>
        <w:rPr>
          <w:sz w:val="24"/>
          <w:szCs w:val="24"/>
        </w:rPr>
        <w:t xml:space="preserve">                               </w:t>
        <w:tab/>
      </w:r>
    </w:p>
    <w:sectPr>
      <w:footnotePr/>
      <w:endnotePr/>
      <w:type w:val="nextPage"/>
      <w:pgSz w:w="11906" w:h="16838" w:code="0"/>
      <w:pgMar w:left="1418" w:right="851" w:top="1077" w:bottom="2268" w:header="709" w:footer="709" w:gutter="0"/>
      <w:cols w:equalWidth="1" w:space="72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endnote w:type="separator" w:id="-1">
    <w:p/>
  </w:endnote>
  <w:endnote w:type="continuationSeparator" w:id="0">
    <w:p/>
  </w:endnote>
</w:endnotes>
</file>

<file path=word/footnotes.xml><?xml version="1.0" encoding="utf-8"?>
<w:footnotes xmlns:w="http://schemas.openxmlformats.org/wordprocessingml/2006/main" xmlns:r="http://schemas.openxmlformats.org/officeDocument/2006/relationships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footnote w:type="separator" w:id="-1">
    <w:p/>
  </w:footnote>
  <w:footnote w:type="continuationSeparator" w:id="0">
    <w:p/>
  </w:footnote>
</w:footnotes>
</file>

<file path=word/numbering.xml><?xml version="1.0" encoding="utf-8"?>
<w:numbering xmlns:w="http://schemas.openxmlformats.org/wordprocessingml/2006/main">
  <w:abstractNum w:abstractNumId="0">
    <w:nsid w:val="00000001"/>
    <w:multiLevelType w:val="multilevel"/>
    <w:lvl w:ilvl="0">
      <w:start w:val="1"/>
      <w:numFmt w:val="none"/>
      <w:suff w:val="nothing"/>
      <w:lvlText w:val=""/>
      <w:lvlJc w:val="left"/>
      <w:pPr>
        <w:ind w:firstLine="0" w:left="0"/>
        <w:tabs>
          <w:tab w:val="num" w:pos="0" w:leader="none"/>
        </w:tabs>
      </w:pPr>
      <w:rPr>
        <w:rFonts w:ascii="Times New Roman" w:hAnsi="Times New Roman"/>
      </w:rPr>
    </w:lvl>
    <w:lvl w:ilvl="1">
      <w:start w:val="1"/>
      <w:numFmt w:val="none"/>
      <w:suff w:val="nothing"/>
      <w:lvlText w:val=""/>
      <w:lvlJc w:val="left"/>
      <w:pPr>
        <w:ind w:firstLine="0" w:left="0"/>
        <w:tabs>
          <w:tab w:val="num" w:pos="0" w:leader="none"/>
        </w:tabs>
      </w:pPr>
      <w:rPr>
        <w:rFonts w:ascii="Courier New" w:hAnsi="Courier New"/>
      </w:rPr>
    </w:lvl>
    <w:lvl w:ilvl="2">
      <w:start w:val="1"/>
      <w:numFmt w:val="none"/>
      <w:suff w:val="nothing"/>
      <w:lvlText w:val=""/>
      <w:lvlJc w:val="left"/>
      <w:pPr>
        <w:ind w:firstLine="0" w:left="0"/>
        <w:tabs>
          <w:tab w:val="num" w:pos="0" w:leader="none"/>
        </w:tabs>
      </w:pPr>
      <w:rPr>
        <w:rFonts w:ascii="Wingdings" w:hAnsi="Wingdings"/>
      </w:rPr>
    </w:lvl>
    <w:lvl w:ilvl="3">
      <w:start w:val="1"/>
      <w:numFmt w:val="none"/>
      <w:suff w:val="nothing"/>
      <w:lvlText w:val=""/>
      <w:lvlJc w:val="left"/>
      <w:pPr>
        <w:ind w:firstLine="0" w:left="0"/>
        <w:tabs>
          <w:tab w:val="num" w:pos="0" w:leader="none"/>
        </w:tabs>
      </w:pPr>
      <w:rPr>
        <w:rFonts w:ascii="Symbol" w:hAnsi="Symbol"/>
      </w:rPr>
    </w:lvl>
    <w:lvl w:ilvl="4">
      <w:start w:val="1"/>
      <w:numFmt w:val="none"/>
      <w:suff w:val="nothing"/>
      <w:lvlText w:val=""/>
      <w:lvlJc w:val="left"/>
      <w:pPr>
        <w:ind w:firstLine="0" w:left="0"/>
        <w:tabs>
          <w:tab w:val="num" w:pos="0" w:leader="none"/>
        </w:tabs>
      </w:pPr>
      <w:rPr/>
    </w:lvl>
    <w:lvl w:ilvl="5">
      <w:start w:val="1"/>
      <w:numFmt w:val="none"/>
      <w:suff w:val="nothing"/>
      <w:lvlText w:val=""/>
      <w:lvlJc w:val="left"/>
      <w:pPr>
        <w:ind w:firstLine="0" w:left="0"/>
        <w:tabs>
          <w:tab w:val="num" w:pos="0" w:leader="none"/>
        </w:tabs>
      </w:pPr>
      <w:rPr/>
    </w:lvl>
    <w:lvl w:ilvl="6">
      <w:start w:val="1"/>
      <w:numFmt w:val="none"/>
      <w:suff w:val="nothing"/>
      <w:lvlText w:val=""/>
      <w:lvlJc w:val="left"/>
      <w:pPr>
        <w:ind w:firstLine="0" w:left="0"/>
        <w:tabs>
          <w:tab w:val="num" w:pos="0" w:leader="none"/>
        </w:tabs>
      </w:pPr>
      <w:rPr/>
    </w:lvl>
    <w:lvl w:ilvl="7">
      <w:start w:val="1"/>
      <w:numFmt w:val="none"/>
      <w:suff w:val="nothing"/>
      <w:lvlText w:val=""/>
      <w:lvlJc w:val="left"/>
      <w:pPr>
        <w:ind w:firstLine="0" w:left="0"/>
        <w:tabs>
          <w:tab w:val="num" w:pos="0" w:leader="none"/>
        </w:tabs>
      </w:pPr>
      <w:rPr/>
    </w:lvl>
    <w:lvl w:ilvl="8">
      <w:start w:val="1"/>
      <w:numFmt w:val="none"/>
      <w:suff w:val="nothing"/>
      <w:lvlText w:val=""/>
      <w:lvlJc w:val="left"/>
      <w:pPr>
        <w:ind w:firstLine="0" w:left="0"/>
        <w:tabs>
          <w:tab w:val="num" w:pos="0" w:leader="none"/>
        </w:tabs>
      </w:pPr>
      <w:rPr/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>
  <w:displayBackgroundShape w:val="1"/>
  <w:doNotTrackMoves/>
  <w:defaultTabStop w:val="708"/>
  <w:autoHyphenation w:val="0"/>
  <w:evenAndOddHeaders w:val="0"/>
  <w:characterSpacingControl w:val="compressPunctuation"/>
  <w:compat>
    <w:splitPgBreakAndParaMark/>
    <w:growAutofit/>
    <w:doNotBreakConstrainedForcedTable/>
    <w:doNotBreakWrappedTables/>
    <w:doNotVertAlignCellWithSp/>
    <w:useWord2002TableStyleRules/>
    <w:useFELayout/>
    <w:compatSetting w:name="compatibilityMode" w:uri="http://schemas.microsoft.com/office/word" w:val="1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footnotePr>
    <w:footnote w:id="-1"/>
    <w:footnote w:id="0"/>
  </w:footnotePr>
  <w:endnotePr>
    <w:endnote w:id="-1"/>
    <w:endnote w:id="0"/>
  </w:endnotePr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0"/>
        <w:szCs w:val="20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next w:val="P0"/>
    <w:qFormat/>
    <w:pPr>
      <w:suppressAutoHyphens w:val="1"/>
    </w:pPr>
    <w:rPr>
      <w:sz w:val="28"/>
      <w:szCs w:val="28"/>
      <w:lang w:val="uk-UA"/>
    </w:rPr>
  </w:style>
  <w:style w:type="paragraph" w:styleId="P1">
    <w:name w:val="Heading 1"/>
    <w:basedOn w:val="P0"/>
    <w:next w:val="P0"/>
    <w:qFormat/>
    <w:pPr>
      <w:keepNext w:val="1"/>
      <w:numPr>
        <w:numId w:val="1"/>
      </w:numPr>
      <w:ind w:firstLine="0" w:left="1211" w:right="284"/>
      <w:jc w:val="center"/>
      <w:outlineLvl w:val="0"/>
    </w:pPr>
    <w:rPr>
      <w:b w:val="1"/>
      <w:bCs w:val="1"/>
    </w:rPr>
  </w:style>
  <w:style w:type="paragraph" w:styleId="P2">
    <w:name w:val="Heading 2"/>
    <w:basedOn w:val="P0"/>
    <w:next w:val="P0"/>
    <w:qFormat/>
    <w:pPr>
      <w:keepNext w:val="1"/>
      <w:numPr>
        <w:ilvl w:val="1"/>
        <w:numId w:val="1"/>
      </w:numPr>
      <w:tabs>
        <w:tab w:val="left" w:pos="9923" w:leader="none"/>
      </w:tabs>
      <w:ind w:firstLine="0" w:left="0" w:right="566"/>
      <w:jc w:val="center"/>
      <w:outlineLvl w:val="1"/>
    </w:pPr>
    <w:rPr>
      <w:lang w:val="uk-UA"/>
    </w:rPr>
  </w:style>
  <w:style w:type="paragraph" w:styleId="P3">
    <w:name w:val="Heading 3"/>
    <w:basedOn w:val="P0"/>
    <w:next w:val="P0"/>
    <w:qFormat/>
    <w:pPr>
      <w:keepNext w:val="1"/>
      <w:numPr>
        <w:ilvl w:val="2"/>
        <w:numId w:val="1"/>
      </w:numPr>
      <w:ind w:firstLine="0" w:left="0" w:right="283"/>
      <w:jc w:val="center"/>
      <w:outlineLvl w:val="2"/>
    </w:pPr>
    <w:rPr>
      <w:b w:val="1"/>
      <w:bCs w:val="1"/>
      <w:sz w:val="24"/>
      <w:szCs w:val="24"/>
    </w:rPr>
  </w:style>
  <w:style w:type="paragraph" w:styleId="P4">
    <w:name w:val="Heading 4"/>
    <w:basedOn w:val="P0"/>
    <w:next w:val="P0"/>
    <w:qFormat/>
    <w:pPr>
      <w:keepNext w:val="1"/>
      <w:numPr>
        <w:ilvl w:val="3"/>
        <w:numId w:val="1"/>
      </w:numPr>
      <w:ind w:firstLine="0" w:left="0" w:right="0"/>
      <w:jc w:val="right"/>
      <w:outlineLvl w:val="3"/>
    </w:pPr>
    <w:rPr>
      <w:sz w:val="32"/>
      <w:szCs w:val="32"/>
    </w:rPr>
  </w:style>
  <w:style w:type="paragraph" w:styleId="P5">
    <w:name w:val="Heading 5"/>
    <w:basedOn w:val="P0"/>
    <w:next w:val="P0"/>
    <w:qFormat/>
    <w:pPr>
      <w:keepNext w:val="1"/>
      <w:numPr>
        <w:ilvl w:val="4"/>
        <w:numId w:val="1"/>
      </w:numPr>
      <w:ind w:firstLine="0" w:left="0" w:right="283"/>
      <w:jc w:val="center"/>
      <w:outlineLvl w:val="4"/>
    </w:pPr>
    <w:rPr>
      <w:b w:val="1"/>
      <w:bCs w:val="1"/>
    </w:rPr>
  </w:style>
  <w:style w:type="paragraph" w:styleId="P6">
    <w:name w:val="Заголовок"/>
    <w:basedOn w:val="P0"/>
    <w:next w:val="P7"/>
    <w:pPr>
      <w:keepNext w:val="1"/>
      <w:spacing w:before="240" w:after="120"/>
    </w:pPr>
    <w:rPr>
      <w:rFonts w:ascii="Arial" w:hAnsi="Arial"/>
      <w:sz w:val="28"/>
      <w:szCs w:val="28"/>
    </w:rPr>
  </w:style>
  <w:style w:type="paragraph" w:styleId="P7">
    <w:name w:val="Body Text"/>
    <w:basedOn w:val="P0"/>
    <w:next w:val="P7"/>
    <w:pPr>
      <w:tabs>
        <w:tab w:val="left" w:pos="932" w:leader="none"/>
      </w:tabs>
      <w:jc w:val="both"/>
    </w:pPr>
    <w:rPr/>
  </w:style>
  <w:style w:type="paragraph" w:styleId="P8">
    <w:name w:val="Caption"/>
    <w:basedOn w:val="P0"/>
    <w:next w:val="P20"/>
    <w:qFormat/>
    <w:pPr>
      <w:ind w:firstLine="0" w:left="5529" w:right="2268"/>
      <w:jc w:val="center"/>
    </w:pPr>
    <w:rPr>
      <w:lang w:val="uk-UA"/>
    </w:rPr>
  </w:style>
  <w:style w:type="paragraph" w:styleId="P9">
    <w:name w:val="Указатель2"/>
    <w:basedOn w:val="P0"/>
    <w:next w:val="P9"/>
    <w:pPr>
      <w:suppressLineNumbers w:val="1"/>
    </w:pPr>
    <w:rPr/>
  </w:style>
  <w:style w:type="paragraph" w:styleId="P10">
    <w:name w:val="Название объекта2"/>
    <w:basedOn w:val="P0"/>
    <w:next w:val="P10"/>
    <w:pPr>
      <w:suppressLineNumbers w:val="1"/>
      <w:spacing w:before="120" w:after="120"/>
    </w:pPr>
    <w:rPr>
      <w:rFonts w:ascii="Arial" w:hAnsi="Arial"/>
      <w:i w:val="1"/>
      <w:iCs w:val="1"/>
      <w:sz w:val="20"/>
      <w:szCs w:val="20"/>
    </w:rPr>
  </w:style>
  <w:style w:type="paragraph" w:styleId="P11">
    <w:name w:val="Указатель1"/>
    <w:basedOn w:val="P0"/>
    <w:next w:val="P11"/>
    <w:pPr>
      <w:suppressLineNumbers w:val="1"/>
    </w:pPr>
    <w:rPr>
      <w:rFonts w:ascii="Arial" w:hAnsi="Arial"/>
    </w:rPr>
  </w:style>
  <w:style w:type="paragraph" w:styleId="P12">
    <w:name w:val="Название объекта1"/>
    <w:basedOn w:val="P0"/>
    <w:next w:val="P0"/>
    <w:pPr>
      <w:ind w:firstLine="0" w:left="0" w:right="1984"/>
      <w:jc w:val="center"/>
    </w:pPr>
    <w:rPr>
      <w:rFonts w:ascii="Arial Black" w:hAnsi="Arial Black"/>
    </w:rPr>
  </w:style>
  <w:style w:type="paragraph" w:styleId="P13">
    <w:name w:val="Цитата1"/>
    <w:basedOn w:val="P0"/>
    <w:next w:val="P13"/>
    <w:pPr>
      <w:ind w:firstLine="0" w:left="851" w:right="284"/>
    </w:pPr>
    <w:rPr/>
  </w:style>
  <w:style w:type="paragraph" w:styleId="P14">
    <w:name w:val="Основной текст 21"/>
    <w:basedOn w:val="P0"/>
    <w:next w:val="P14"/>
    <w:pPr>
      <w:jc w:val="both"/>
    </w:pPr>
    <w:rPr>
      <w:sz w:val="32"/>
      <w:szCs w:val="32"/>
    </w:rPr>
  </w:style>
  <w:style w:type="paragraph" w:styleId="P15">
    <w:name w:val="Текст1"/>
    <w:basedOn w:val="P0"/>
    <w:next w:val="P15"/>
    <w:pPr/>
    <w:rPr>
      <w:rFonts w:ascii="Courier New" w:hAnsi="Courier New"/>
      <w:sz w:val="20"/>
      <w:szCs w:val="20"/>
    </w:rPr>
  </w:style>
  <w:style w:type="paragraph" w:styleId="P16">
    <w:name w:val="List Paragraph"/>
    <w:basedOn w:val="P0"/>
    <w:next w:val="P16"/>
    <w:pPr>
      <w:spacing w:before="0" w:after="200"/>
      <w:ind w:firstLine="0" w:left="720" w:right="0"/>
    </w:pPr>
    <w:rPr/>
  </w:style>
  <w:style w:type="paragraph" w:styleId="P17">
    <w:name w:val="Содержимое таблицы"/>
    <w:basedOn w:val="P0"/>
    <w:next w:val="P17"/>
    <w:pPr>
      <w:suppressLineNumbers w:val="1"/>
    </w:pPr>
    <w:rPr/>
  </w:style>
  <w:style w:type="paragraph" w:styleId="P18">
    <w:name w:val="Header"/>
    <w:basedOn w:val="P0"/>
    <w:next w:val="P18"/>
    <w:pPr>
      <w:suppressLineNumbers w:val="1"/>
      <w:tabs>
        <w:tab w:val="center" w:pos="4932" w:leader="none"/>
        <w:tab w:val="right" w:pos="9865" w:leader="none"/>
      </w:tabs>
    </w:pPr>
    <w:rPr/>
  </w:style>
  <w:style w:type="paragraph" w:styleId="P19">
    <w:name w:val="Footer"/>
    <w:basedOn w:val="P0"/>
    <w:next w:val="P19"/>
    <w:link w:val="C37"/>
    <w:pPr>
      <w:tabs>
        <w:tab w:val="center" w:pos="4819" w:leader="none"/>
        <w:tab w:val="right" w:pos="9639" w:leader="none"/>
      </w:tabs>
    </w:pPr>
    <w:rPr/>
  </w:style>
  <w:style w:type="paragraph" w:styleId="P20">
    <w:name w:val="Subtitle"/>
    <w:basedOn w:val="P6"/>
    <w:next w:val="P7"/>
    <w:qFormat/>
    <w:pPr>
      <w:jc w:val="center"/>
    </w:pPr>
    <w:rPr>
      <w:i w:val="1"/>
      <w:iCs w:val="1"/>
      <w:sz w:val="28"/>
      <w:szCs w:val="28"/>
    </w:rPr>
  </w:style>
  <w:style w:type="paragraph" w:styleId="P21">
    <w:name w:val="List"/>
    <w:basedOn w:val="P7"/>
    <w:next w:val="P21"/>
    <w:pPr/>
    <w:rPr>
      <w:rFonts w:ascii="Arial" w:hAnsi="Arial"/>
    </w:rPr>
  </w:style>
  <w:style w:type="paragraph" w:styleId="P22">
    <w:name w:val="Заголовок таблицы"/>
    <w:basedOn w:val="P17"/>
    <w:next w:val="P22"/>
    <w:pPr>
      <w:suppressLineNumbers w:val="1"/>
      <w:jc w:val="center"/>
    </w:pPr>
    <w:rPr>
      <w:b w:val="1"/>
      <w:bCs w:val="1"/>
    </w:rPr>
  </w:style>
  <w:style w:type="paragraph" w:styleId="P23">
    <w:name w:val="Footnote Text"/>
    <w:link w:val="C39"/>
    <w:semiHidden/>
    <w:pPr>
      <w:spacing w:lineRule="auto" w:line="240" w:after="0"/>
    </w:pPr>
    <w:rPr>
      <w:sz w:val="20"/>
      <w:szCs w:val="20"/>
    </w:rPr>
  </w:style>
  <w:style w:type="paragraph" w:styleId="P24">
    <w:name w:val="Endnote Text"/>
    <w:link w:val="C41"/>
    <w:semiHidden/>
    <w:pPr>
      <w:spacing w:lineRule="auto" w:line="240" w:after="0"/>
    </w:pPr>
    <w:rPr>
      <w:sz w:val="20"/>
      <w:szCs w:val="20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WW8Num1z0"/>
    <w:rPr>
      <w:rFonts w:ascii="Times New Roman" w:hAnsi="Times New Roman"/>
    </w:rPr>
  </w:style>
  <w:style w:type="character" w:styleId="C4">
    <w:name w:val="WW8Num1z1"/>
    <w:rPr>
      <w:rFonts w:ascii="Courier New" w:hAnsi="Courier New"/>
    </w:rPr>
  </w:style>
  <w:style w:type="character" w:styleId="C5">
    <w:name w:val="WW8Num1z2"/>
    <w:rPr>
      <w:rFonts w:ascii="Wingdings" w:hAnsi="Wingdings"/>
    </w:rPr>
  </w:style>
  <w:style w:type="character" w:styleId="C6">
    <w:name w:val="WW8Num1z3"/>
    <w:rPr>
      <w:rFonts w:ascii="Symbol" w:hAnsi="Symbol"/>
    </w:rPr>
  </w:style>
  <w:style w:type="character" w:styleId="C7">
    <w:name w:val="WW8Num2z0"/>
    <w:rPr>
      <w:rFonts w:ascii="Symbol" w:hAnsi="Symbol"/>
      <w:sz w:val="18"/>
      <w:szCs w:val="18"/>
    </w:rPr>
  </w:style>
  <w:style w:type="character" w:styleId="C8">
    <w:name w:val="WW8Num3z0"/>
    <w:rPr>
      <w:rFonts w:ascii="Symbol" w:hAnsi="Symbol"/>
    </w:rPr>
  </w:style>
  <w:style w:type="character" w:styleId="C9">
    <w:name w:val="WW8Num3z1"/>
    <w:rPr>
      <w:rFonts w:ascii="Courier New" w:hAnsi="Courier New"/>
    </w:rPr>
  </w:style>
  <w:style w:type="character" w:styleId="C10">
    <w:name w:val="WW8Num3z2"/>
    <w:rPr>
      <w:rFonts w:ascii="Wingdings" w:hAnsi="Wingdings"/>
    </w:rPr>
  </w:style>
  <w:style w:type="character" w:styleId="C11">
    <w:name w:val="WW8Num4z0"/>
    <w:rPr>
      <w:rFonts w:ascii="Symbol" w:hAnsi="Symbol"/>
    </w:rPr>
  </w:style>
  <w:style w:type="character" w:styleId="C12">
    <w:name w:val="WW8Num4z1"/>
    <w:rPr>
      <w:rFonts w:ascii="Courier New" w:hAnsi="Courier New"/>
    </w:rPr>
  </w:style>
  <w:style w:type="character" w:styleId="C13">
    <w:name w:val="WW8Num4z2"/>
    <w:rPr>
      <w:rFonts w:ascii="Wingdings" w:hAnsi="Wingdings"/>
    </w:rPr>
  </w:style>
  <w:style w:type="character" w:styleId="C14">
    <w:name w:val="WW8Num5z0"/>
    <w:rPr>
      <w:rFonts w:ascii="Symbol" w:hAnsi="Symbol"/>
    </w:rPr>
  </w:style>
  <w:style w:type="character" w:styleId="C15">
    <w:name w:val="WW8Num5z1"/>
    <w:rPr>
      <w:rFonts w:ascii="Courier New" w:hAnsi="Courier New"/>
    </w:rPr>
  </w:style>
  <w:style w:type="character" w:styleId="C16">
    <w:name w:val="WW8Num5z2"/>
    <w:rPr>
      <w:rFonts w:ascii="Wingdings" w:hAnsi="Wingdings"/>
    </w:rPr>
  </w:style>
  <w:style w:type="character" w:styleId="C17">
    <w:name w:val="WW8Num7z0"/>
    <w:rPr>
      <w:rFonts w:ascii="Symbol" w:hAnsi="Symbol"/>
    </w:rPr>
  </w:style>
  <w:style w:type="character" w:styleId="C18">
    <w:name w:val="WW8Num7z1"/>
    <w:rPr>
      <w:rFonts w:ascii="Courier New" w:hAnsi="Courier New"/>
    </w:rPr>
  </w:style>
  <w:style w:type="character" w:styleId="C19">
    <w:name w:val="WW8Num7z2"/>
    <w:rPr>
      <w:rFonts w:ascii="Wingdings" w:hAnsi="Wingdings"/>
    </w:rPr>
  </w:style>
  <w:style w:type="character" w:styleId="C20">
    <w:name w:val="WW8Num9z0"/>
    <w:rPr>
      <w:rFonts w:ascii="Symbol" w:hAnsi="Symbol"/>
    </w:rPr>
  </w:style>
  <w:style w:type="character" w:styleId="C21">
    <w:name w:val="WW8Num9z1"/>
    <w:rPr>
      <w:rFonts w:ascii="Courier New" w:hAnsi="Courier New"/>
    </w:rPr>
  </w:style>
  <w:style w:type="character" w:styleId="C22">
    <w:name w:val="WW8Num9z2"/>
    <w:rPr>
      <w:rFonts w:ascii="Wingdings" w:hAnsi="Wingdings"/>
    </w:rPr>
  </w:style>
  <w:style w:type="character" w:styleId="C23">
    <w:name w:val="WW8Num10z0"/>
    <w:rPr>
      <w:rFonts w:ascii="Symbol" w:hAnsi="Symbol"/>
    </w:rPr>
  </w:style>
  <w:style w:type="character" w:styleId="C24">
    <w:name w:val="WW8Num10z1"/>
    <w:rPr>
      <w:rFonts w:ascii="Courier New" w:hAnsi="Courier New"/>
    </w:rPr>
  </w:style>
  <w:style w:type="character" w:styleId="C25">
    <w:name w:val="WW8Num10z2"/>
    <w:rPr>
      <w:rFonts w:ascii="Wingdings" w:hAnsi="Wingdings"/>
    </w:rPr>
  </w:style>
  <w:style w:type="character" w:styleId="C26">
    <w:name w:val="WW8Num11z0"/>
    <w:rPr>
      <w:rFonts w:ascii="Times New Roman" w:hAnsi="Times New Roman"/>
    </w:rPr>
  </w:style>
  <w:style w:type="character" w:styleId="C27">
    <w:name w:val="WW8Num11z1"/>
    <w:rPr>
      <w:rFonts w:ascii="Courier New" w:hAnsi="Courier New"/>
    </w:rPr>
  </w:style>
  <w:style w:type="character" w:styleId="C28">
    <w:name w:val="WW8Num11z2"/>
    <w:rPr>
      <w:rFonts w:ascii="Wingdings" w:hAnsi="Wingdings"/>
    </w:rPr>
  </w:style>
  <w:style w:type="character" w:styleId="C29">
    <w:name w:val="WW8Num11z3"/>
    <w:rPr>
      <w:rFonts w:ascii="Symbol" w:hAnsi="Symbol"/>
    </w:rPr>
  </w:style>
  <w:style w:type="character" w:styleId="C30">
    <w:name w:val="WW8Num12z0"/>
    <w:rPr>
      <w:rFonts w:ascii="Symbol" w:hAnsi="Symbol"/>
    </w:rPr>
  </w:style>
  <w:style w:type="character" w:styleId="C31">
    <w:name w:val="WW8Num12z1"/>
    <w:rPr>
      <w:rFonts w:ascii="Courier New" w:hAnsi="Courier New"/>
    </w:rPr>
  </w:style>
  <w:style w:type="character" w:styleId="C32">
    <w:name w:val="WW8Num12z2"/>
    <w:rPr>
      <w:rFonts w:ascii="Wingdings" w:hAnsi="Wingdings"/>
    </w:rPr>
  </w:style>
  <w:style w:type="character" w:styleId="C33">
    <w:name w:val="WW8Num13z0"/>
    <w:rPr>
      <w:rFonts w:ascii="Symbol" w:hAnsi="Symbol"/>
    </w:rPr>
  </w:style>
  <w:style w:type="character" w:styleId="C34">
    <w:name w:val="WW8Num13z1"/>
    <w:rPr>
      <w:rFonts w:ascii="Courier New" w:hAnsi="Courier New"/>
    </w:rPr>
  </w:style>
  <w:style w:type="character" w:styleId="C35">
    <w:name w:val="WW8Num13z2"/>
    <w:rPr>
      <w:rFonts w:ascii="Wingdings" w:hAnsi="Wingdings"/>
    </w:rPr>
  </w:style>
  <w:style w:type="character" w:styleId="C36">
    <w:name w:val="Маркеры списка"/>
    <w:rPr>
      <w:rFonts w:ascii="StarSymbol" w:hAnsi="StarSymbol"/>
      <w:sz w:val="18"/>
      <w:szCs w:val="18"/>
    </w:rPr>
  </w:style>
  <w:style w:type="character" w:styleId="C37">
    <w:name w:val="Нижній колонтитул Знак"/>
    <w:link w:val="P19"/>
    <w:rPr>
      <w:sz w:val="28"/>
      <w:szCs w:val="28"/>
      <w:lang/>
    </w:rPr>
  </w:style>
  <w:style w:type="character" w:styleId="C38">
    <w:name w:val="Footnote Reference"/>
    <w:semiHidden/>
    <w:rPr>
      <w:vertAlign w:val="superscript"/>
    </w:rPr>
  </w:style>
  <w:style w:type="character" w:styleId="C39">
    <w:name w:val="Footnote Text Char"/>
    <w:link w:val="P23"/>
    <w:semiHidden/>
    <w:rPr>
      <w:sz w:val="20"/>
      <w:szCs w:val="20"/>
    </w:rPr>
  </w:style>
  <w:style w:type="character" w:styleId="C40">
    <w:name w:val="Endnote Reference"/>
    <w:semiHidden/>
    <w:rPr>
      <w:vertAlign w:val="superscript"/>
    </w:rPr>
  </w:style>
  <w:style w:type="character" w:styleId="C41">
    <w:name w:val="Endnote Text Char"/>
    <w:link w:val="P24"/>
    <w:semiHidden/>
    <w:rPr>
      <w:sz w:val="20"/>
      <w:szCs w:val="20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  <w:tcPr/>
  </w:style>
</w:styles>
</file>

<file path=word/_rels/document.xml.rels>&#65279;<?xml version="1.0" encoding="utf-8"?><Relationships xmlns="http://schemas.openxmlformats.org/package/2006/relationships"><Relationship Id="RelFnt1" Type="http://schemas.openxmlformats.org/officeDocument/2006/relationships/footnotes" Target="footnotes.xml" /><Relationship Id="RelEnt1" Type="http://schemas.openxmlformats.org/officeDocument/2006/relationships/endnotes" Target="endnotes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Relationship Id="RelItem1" Type="http://schemas.openxmlformats.org/officeDocument/2006/relationships/customXml" Target="../customXml/item1.xml" /></Relationships>
</file>

<file path=word/_rels/endnotes.xml.rels>&#65279;<?xml version="1.0" encoding="utf-8"?><Relationships xmlns="http://schemas.openxmlformats.org/package/2006/relationships" />
</file>

<file path=word/_rels/footnotes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9a0e4-0a12-419c-a9c1-2941da6487e2}">
  <ds:schemaRefs>
    <ds:schemaRef ds:uri="http://schemas.microsoft.com/vsto/samples"/>
  </ds:schemaRefs>
</ds:datastoreItem>
</file>

<file path=docProps/app.xml><?xml version="1.0" encoding="utf-8"?>
<Properties xmlns="http://schemas.openxmlformats.org/officeDocument/2006/extended-properties">
  <Application>DevExpress Office File API/24.2.6.0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Ухач</dc:creator>
  <dcterms:created xsi:type="dcterms:W3CDTF">2009-09-16T14:24:00Z</dcterms:created>
  <cp:lastModifiedBy>askod</cp:lastModifiedBy>
  <cp:lastPrinted>2025-09-15T07:37:00Z</cp:lastPrinted>
  <dcterms:modified xsi:type="dcterms:W3CDTF">2025-09-26T09:32:35Z</dcterms:modified>
  <cp:revision>22</cp:revision>
</cp:coreProperties>
</file>